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_635"/>
        <w:jc w:val="right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bookmarkStart w:id="2" w:name="_Toc84499260"/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highlight w:val="none"/>
        </w:rPr>
        <w:t xml:space="preserve">Приложение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bookmarkEnd w:id="2"/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highlight w:val="none"/>
        </w:rPr>
        <w:t xml:space="preserve"> 3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634"/>
        <w:jc w:val="right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к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ПООП-П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 по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специаль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ности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br/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19.02.12 Технология продуктов питания </w:t>
      </w:r>
      <w:r>
        <w:rPr>
          <w:rFonts w:ascii="Times New Roman" w:hAnsi="Times New Roman" w:cs="Times New Roman" w:eastAsia="Times New Roman"/>
          <w:b w:val="false"/>
          <w:i w:val="false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634"/>
        <w:jc w:val="right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животного происхождения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634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634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634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634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634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634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634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634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  <w:t xml:space="preserve">ПРИМЕРНАЯ РАБОЧАЯ ПРОГРАММА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634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ОБЩЕОБРАЗОВАТЕЛЬНОЙ ДИСЦИПЛИН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Ы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16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ООД.06 Основы безопасности жизнедеятельности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hanging="142"/>
        <w:jc w:val="center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160"/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16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16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160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160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160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160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160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160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160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160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160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160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  <w:t xml:space="preserve">2022 г.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  <w:lang w:eastAsia="ru-RU"/>
        </w:rPr>
        <w:t xml:space="preserve">СОДЕРЖАНИЕ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>
        <w:trPr/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lang w:eastAsia="ru-RU"/>
              </w:rPr>
              <w:t xml:space="preserve">ОБЩАЯ ХАРАКТЕРИСТИКА ПРИМЕРНОЙ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lang w:eastAsia="ru-RU"/>
              </w:rPr>
              <w:t xml:space="preserve">РАБОЧЕЙ ПРОГРАММЫ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lang w:eastAsia="ru-RU"/>
              </w:rPr>
              <w:t xml:space="preserve"> УЧЕБНОГО ПРЕДМЕТА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623"/>
        </w:trPr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lang w:eastAsia="ru-RU"/>
              </w:rPr>
              <w:t xml:space="preserve">СТРУКТУРА И СОДЕРЖАНИЕ УЧЕБНОГО ПРЕДМЕТА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860"/>
        </w:trPr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lang w:eastAsia="ru-RU"/>
              </w:rPr>
              <w:t xml:space="preserve">УСЛОВИЯ РЕАЛИЗАЦИИ УЧЕБНОГО ПРЕДМЕТА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lang w:eastAsia="ru-RU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lang w:eastAsia="ru-RU"/>
              </w:rPr>
              <w:t xml:space="preserve">КОНТРОЛЬ И ОЦЕНКА РЕЗУЛЬТАТОВ ОСВОЕНИЯ УЧЕБНОГО ПРЕДМЕТА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lang w:eastAsia="ru-RU"/>
              </w:rPr>
              <w:t xml:space="preserve">15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1. ОБЩАЯ ХАРАКТЕРИСТИКА ПРИМЕРНОЙ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РАБОЧЕЙ ПРОГРАММЫ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 УЧЕБНОГО ПРЕДМЕТА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«</w:t>
      </w: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lang w:eastAsia="ru-RU"/>
        </w:rPr>
        <w:t xml:space="preserve">Основы безопасности жизнедеятельности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»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1.1. Место дисциплины в структуре основной примерной образовательной программы: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Учебный предмет «</w:t>
      </w:r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eastAsia="ru-RU"/>
        </w:rPr>
        <w:t xml:space="preserve">Основы безопасности жизнедеятельности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» является обязательной частью общеобразовательного ПООП-П в соответствии с ФГОС СПО по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специальности 19.02.12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Технология продуктов питания животного происхождения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.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1"/>
          <w:numId w:val="1"/>
        </w:numPr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 Цель и планируемые результаты освоения предмета: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Особое значение предмет имеет при формировании и развитии общих компетенций: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ОК02, ОК04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, ОК06, ОК07, ОК08, в соответствии с ФГОС по специальности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19.02.12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Технология продуктов питания животного происхождения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В рамках программы учебного предмета обучающимися осваиваются личностные (ЛР),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метапредметные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(МР), предметные для базового уровня изучения (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ПРб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) результаты в соответствии с требованиями ФГОС среднего общего образования.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9248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7659"/>
      </w:tblGrid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bookmarkStart w:id="0" w:name="_Hlk95849267"/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Коды результатов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Планируемые результаты освоения дисциплины включают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Готовность к служению Отечеству, его защите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11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12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 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14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МР 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Умение самостоятельно определять цели деятельности и со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МР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Умение продуктивно общаться и взаимодействовать в процессе совместной деятельности, учитывать позиции других участников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деятельности, эффективно разрешать конфликты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МР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МР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Готовность и способность к самостоятельной информац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Умение использовать средства информационн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МР 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Умение определять назначение и функции различных социальных институтов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МР 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представлений о культуре безопасности жизнедеятельности, в том числе о культу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ре экологической безопасности как о жизненно важной социально-нравственной позиции личности, а также как о средстве, повышающем защищённость личности, общества и государства от внешних и внутренних угроз, включая отрицательное влияние человеческого фактора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Знание основ государственной системы, российского законодательства, направленных на защиту населения от внешних и внутренних угроз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представлений о здоровом образе жизни как о средстве обеспечения духовного, физического и социального благополучия личности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Знание распространённых опасных и чрезвычайных ситуаций природного, техногенного и социального характера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Знание факторов, пагубно влияющих на здоровье человека, исключение из своей жизни вредных привычек (курения, пьянства и т. д.)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Знание основных мер защиты (в том числе в области гражданской обороны) и правил поведения в условиях опасных и чрезвычайных ситуаций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Умение предвидеть возникновение опасных и чрезвычайных ситуаций по характерным для них признакам, а также использовать различные информационные источники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Умение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Знание основ обороны государства и воинской службы: законодательство об обороне государства и воинской обязанности граждан; права и обязанности гражданина до призыва, во время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призыва и прохождения военной службы, уставные отношения, быт военнослужащих, порядок несения службы и воинские ритуалы, строевая, огневая и тактическая подготовка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Знание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Владение основами медицинских знаний и оказания первой помощи пострадавшим 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</w:t>
            </w:r>
            <w:bookmarkEnd w:id="0"/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lang w:eastAsia="ru-RU"/>
        </w:rPr>
        <w:br w:type="page"/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2. СТРУКТУРА И СОДЕРЖАНИЕ УЧЕБНОГО ПРЕДМЕТА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2.1. Объем учебного предмета и виды учебной работы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5000" w:type="pct"/>
        <w:tblBorders>
          <w:left w:val="single" w:color="000000" w:sz="6" w:space="0"/>
          <w:top w:val="single" w:color="000000" w:sz="6" w:space="0"/>
          <w:right w:val="single" w:color="000000" w:sz="6" w:space="0"/>
          <w:bottom w:val="single" w:color="000000" w:sz="6" w:space="0"/>
          <w:insideV w:val="single" w:color="000000" w:sz="6" w:space="0"/>
          <w:insideH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Вид учебной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Объем в часах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Объем образовательной программы учебного предмета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70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Основное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70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 т. ч.: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shd w:val="clear" w:fill="auto" w:color="auto"/>
            <w:tcW w:w="3685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W w:w="1315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50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shd w:val="clear" w:fill="auto" w:color="auto"/>
            <w:tcW w:w="3685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практические занятия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W w:w="1315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31"/>
        </w:trPr>
        <w:tc>
          <w:tcPr>
            <w:tcW w:w="3685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Промежуточная аттестация (дифференцированный зачёт)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spacing w:lineRule="auto" w:line="276" w:after="120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  <w:sectPr>
          <w:footerReference w:type="default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 w:eastAsia="Times New Roman"/>
          <w:color w:val="000000" w:themeColor="text1"/>
          <w:sz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2.2. Тематический план и содержание учебного предмета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pPr w:horzAnchor="margin" w:tblpXSpec="center" w:vertAnchor="text" w:tblpY="289" w:leftFromText="180" w:topFromText="0" w:rightFromText="180" w:bottomFromText="0"/>
        <w:tblW w:w="0" w:type="auto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7446"/>
        <w:gridCol w:w="1326"/>
        <w:gridCol w:w="11"/>
        <w:gridCol w:w="2709"/>
      </w:tblGrid>
      <w:tr>
        <w:trPr/>
        <w:tc>
          <w:tcPr>
            <w:tcW w:w="329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446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Содержание учебного материала, практические работы, самостоятельная работа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textDirection w:val="lrTb"/>
            <w:noWrap w:val="false"/>
          </w:tcPr>
          <w:p>
            <w:pPr>
              <w:ind w:left="72" w:right="170"/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lang w:eastAsia="ru-RU"/>
              </w:rPr>
              <w:t xml:space="preserve">Коли-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lang w:eastAsia="ru-RU"/>
              </w:rPr>
              <w:t xml:space="preserve">чесво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3"/>
                <w:lang w:eastAsia="ru-RU"/>
              </w:rPr>
              <w:t xml:space="preserve">часов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709" w:type="dxa"/>
            <w:textDirection w:val="lrTb"/>
            <w:noWrap w:val="false"/>
          </w:tcPr>
          <w:p>
            <w:pPr>
              <w:ind w:left="72" w:right="170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Коды компетенций и личностных результатов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vertAlign w:val="superscript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формированию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которых способствует элемент программы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329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446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70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19"/>
        </w:trPr>
        <w:tc>
          <w:tcPr>
            <w:gridSpan w:val="2"/>
            <w:tcW w:w="10740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  <w:lang w:eastAsia="ru-RU"/>
              </w:rPr>
              <w:t xml:space="preserve">Раздел 1.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7"/>
                <w:lang w:eastAsia="ru-RU"/>
              </w:rPr>
              <w:t xml:space="preserve">Основы здорового образа жизни.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09,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12, ЛР 14,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МР 01, МР 02,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МР 04, МР 03,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02, ОК 04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 ОК 06, ОК 07, ОК 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09"/>
        </w:trPr>
        <w:tc>
          <w:tcPr>
            <w:tcW w:w="3294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Тема 1.1.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Основные сведения о здоровье и здоровом образе жизни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 Основные критерии здоровья и факторы, влияющие на него. Здоровый образ жизни. Здоровое питание. Физическое воспитание и культура – неотъемлемая часть здорового образа жизни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, 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ЛР 12, 14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МР 01, 07,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 04, 06,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680"/>
        </w:trPr>
        <w:tc>
          <w:tcPr>
            <w:tcW w:w="329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ar-SA"/>
              </w:rPr>
            </w:r>
            <w:r/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lang w:eastAsia="ru-RU"/>
              </w:rPr>
              <w:t xml:space="preserve">Практическое занятие №1.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Основные направления и требования к гигиене.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, 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ЛР 12, 14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МР 01, 07,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 02, 04, 06,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247"/>
        </w:trPr>
        <w:tc>
          <w:tcPr>
            <w:tcW w:w="3294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Тема 1.2.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Вредные привычки и их опасность для организма человека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Курение, алкоголизм, наркомания и токсикомания, сквернословие.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, 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ЛР 12, 14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МР 01, 07,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 04, 06,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62"/>
        </w:trPr>
        <w:tc>
          <w:tcPr>
            <w:tcW w:w="3294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Тема 1.3.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Средства и правила оказания первой медицинской помощи при травмах и ранениях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Оказание первой медицинской помощи в быту, на производстве, на занятиях, в условиях чрезвычайных ситуаций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, 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ЛР 12, 14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МР 01, 07,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 02, 04, 06, 09, 12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964"/>
        </w:trPr>
        <w:tc>
          <w:tcPr>
            <w:tcW w:w="329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ar-SA"/>
              </w:rPr>
            </w:r>
            <w:r/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Практическое занятие №2.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Правила пользования медикаментами 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перевязочным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 материалами, выполнение процедур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, 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ЛР 12, 14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МР 01, 07,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 02, 04, 06, 09, 12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19"/>
        </w:trPr>
        <w:tc>
          <w:tcPr>
            <w:gridSpan w:val="2"/>
            <w:tcW w:w="10740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  <w:lang w:eastAsia="ru-RU"/>
              </w:rPr>
              <w:t xml:space="preserve">Раздел 2.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Безопасность и защита человека в ЧС природного и техногенного характера в условиях применения средств массового поражения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ЛР 11,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МР 02, МР 03, 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02, ОК 04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 06,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 07, ОК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247"/>
        </w:trPr>
        <w:tc>
          <w:tcPr>
            <w:tcW w:w="3294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Тема 2.1.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Безопасность и защита человека в ЧС природного характера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Классификация ЧС природного характера, их поражающие факторы. Действие во время ЧС и после их окончания.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Меры по защите населения от ЧС природного характера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07, 09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ЛР 11,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МР 02, 03,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907"/>
        </w:trPr>
        <w:tc>
          <w:tcPr>
            <w:tcW w:w="329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ar-SA"/>
              </w:rPr>
            </w:r>
            <w:r/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Практическое занятие №3.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Действия студентов при поступлении сигнала оповещения о ЧС.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07, 09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ЛР 11,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МР 02, 03,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06,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8"/>
        </w:trPr>
        <w:tc>
          <w:tcPr>
            <w:tcW w:w="3294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Тема 2.2.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Безопасность и защита человека в ЧС техногенного характера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Классификация ЧС техногенного характера, их поражающие факторы, Действие во время ЧС и после их окончания. Меры по защите населения от ЧС техногенного  характера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07, 09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ЛР 11,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МР 02, 03,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06.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964"/>
        </w:trPr>
        <w:tc>
          <w:tcPr>
            <w:tcW w:w="329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ar-SA"/>
              </w:rPr>
            </w:r>
            <w:r/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Практическое занятие №4.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Экстремальные ситуации, связанные с транспортом и способы защиты от них.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07, 09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ЛР 11,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МР 02, 03,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22"/>
        </w:trPr>
        <w:tc>
          <w:tcPr>
            <w:tcW w:w="3294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Тема 2.3.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Защита населения в условиях применения средств массового поражения.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Поражающие факт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оры средств массового поражения. Защита населения в очаге ядерного поражения, после применения боевых отравляющих веществ и биологического оружия. Способы защиты и ликвидации последствий. Организация спасательных работ. Медицинская и специальная обработка.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07, 09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ЛР 11,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МР 02, 03,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304"/>
        </w:trPr>
        <w:tc>
          <w:tcPr>
            <w:tcW w:w="329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ar-SA"/>
              </w:rPr>
            </w:r>
            <w:r/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Практическое занятие №5.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Основы санитарной обработки населения. Дегазация. Дезактивация. Дезинфекция. Специальная обработка имущества.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05, , 09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ЛР 11, 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МР 02, 03,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07, 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57"/>
        </w:trPr>
        <w:tc>
          <w:tcPr>
            <w:tcW w:w="3294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Тема 2.4.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Действие должностных лиц и населения в ЧС мирного и военного времени.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Оповещение должностных лиц и населения о ЧС в мирное и военное  время. Гражданская оборон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а-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  система общегосударственных мер по защите населения от опасностей. Сигналы оповещения и действия по ним. Организация и ведение аварийно-спасательных неотложных работ. Прогнозирование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02, 05,  09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ЛР 11, 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МР 02, 03,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07, 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737"/>
        </w:trPr>
        <w:tc>
          <w:tcPr>
            <w:tcW w:w="329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ar-SA"/>
              </w:rPr>
            </w:r>
            <w:r/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Практическое занятие №6.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Противопожарная служба района. Средства пожаротушения.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07, 09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ЛР 11,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МР 02, 03,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420"/>
        </w:trPr>
        <w:tc>
          <w:tcPr>
            <w:tcW w:w="3294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Тема 2.5.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Международный терроризм – угроза обществу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Особенности международного и национального терроризма. Действия населения при угрозе и в период террористических актов. Характеристика обычных средств поражения. Действия при их обнаружении.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02, 05,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ЛР 03, 11, 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МР 02, 03,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02, 04,  07,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08,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624"/>
        </w:trPr>
        <w:tc>
          <w:tcPr>
            <w:tcW w:w="329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ar-SA"/>
              </w:rPr>
            </w:r>
            <w:r/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Практическое занятие №7.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Демаскирующие признаки взрывных устройств.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07, 09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ЛР 11,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МР 02, 03,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06,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504"/>
        </w:trPr>
        <w:tc>
          <w:tcPr>
            <w:gridSpan w:val="2"/>
            <w:tcW w:w="10740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  <w:lang w:eastAsia="ru-RU"/>
              </w:rPr>
              <w:t xml:space="preserve">Раздел 3.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Основы обороны Государства и военная обязанность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40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10,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11,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01, ЛР 02, ЛР 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04,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06, 07,08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71"/>
        </w:trPr>
        <w:tc>
          <w:tcPr>
            <w:tcW w:w="3294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Тема 3.1.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История создания Вооруженных Сил России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Армия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val="en-US" w:eastAsia="ru-RU"/>
              </w:rPr>
              <w:t xml:space="preserve">XIV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 –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val="en-US" w:eastAsia="ru-RU"/>
              </w:rPr>
              <w:t xml:space="preserve">XVII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  веков, воины-профессионалы и ополчение, Петровский период развития Армии. Реформа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val="en-US" w:eastAsia="ru-RU"/>
              </w:rPr>
              <w:t xml:space="preserve">XVIII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 века. Реформа начала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val="en-US" w:eastAsia="ru-RU"/>
              </w:rPr>
              <w:t xml:space="preserve">XX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 века. Великая Отечественная война. Вооруженные Силы 60-х годов. ВС РФ сегодня.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02, 10, 11,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01, 02, 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04,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06, 07,08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848"/>
        </w:trPr>
        <w:tc>
          <w:tcPr>
            <w:tcW w:w="329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ar-SA"/>
              </w:rPr>
            </w:r>
            <w:r/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Дни воинской слава России.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02, 10, 11,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01, 02, 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04,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06, 07,08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991"/>
        </w:trPr>
        <w:tc>
          <w:tcPr>
            <w:tcW w:w="3294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Тема 3.2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Основы обороны государства. ВС РФ – основа военной защиты государства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Функции и задачи ВС РФ, организационная структура, виды ВС, рода войск. Вооружение.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02, 10, 11,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01, 02, 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04,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06, 07,08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969"/>
        </w:trPr>
        <w:tc>
          <w:tcPr>
            <w:tcW w:w="329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ar-SA"/>
              </w:rPr>
            </w:r>
            <w:r/>
          </w:p>
        </w:tc>
        <w:tc>
          <w:tcPr>
            <w:tcBorders>
              <w:bottom w:val="single" w:sz="4" w:space="0" w:color="auto"/>
            </w:tcBorders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Практическое занятие №8.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АК-74. Назначение, устройство. Неполная разборка и сборка после неполной разборки.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Borders>
              <w:bottom w:val="single" w:sz="4" w:space="0" w:color="auto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bottom w:val="single" w:sz="4" w:space="0" w:color="auto"/>
            </w:tcBorders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02, 10, 11,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01, 02, 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04,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06, 07,08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680"/>
        </w:trPr>
        <w:tc>
          <w:tcPr>
            <w:tcW w:w="329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ar-SA"/>
              </w:rPr>
            </w:r>
            <w:r/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Практическое занятие №9.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Стрельба из пневматического оружия.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02, 10, 11,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01, 02, 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04,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06, 07,08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56"/>
        </w:trPr>
        <w:tc>
          <w:tcPr>
            <w:tcW w:w="3294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Тема 3.3.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Знамя воинской части – символ воинской чести, доблести и славы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История возникновения военных Штандартов и Знамен. Знамя – символ воинской доблести и славы. Вручение Боевого Знамени воинской части. Ответственность за утрату Боевого Знамени.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02, 10, 11,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01, 02, 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04,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06, 07,08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624"/>
        </w:trPr>
        <w:tc>
          <w:tcPr>
            <w:tcW w:w="329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ar-SA"/>
              </w:rPr>
            </w:r>
            <w:r/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Ритуалы Вооруженных Сил РФ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02, 10, 11,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01, 02, 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04,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06, 07,08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20"/>
        </w:trPr>
        <w:tc>
          <w:tcPr>
            <w:tcW w:w="3294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Тема 3.4.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Правовые основы военной службы.  Права и обязанности граждан в области обороны.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Конституция РФ. Закон РФ «О статусе военнослужащего», о правах и обязанностях военнослужащих, основы правовой и социальной защиты. Начальники и подчиненные, старшие и младшие.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02, 10, 11,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01, 02, 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04,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06, 07,08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931"/>
        </w:trPr>
        <w:tc>
          <w:tcPr>
            <w:tcW w:w="329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ar-SA"/>
              </w:rPr>
            </w:r>
            <w:r/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Ответственность военнослужащих. Преступление против воинской службы.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02, 10, 11,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01, 02, 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04,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06, 07,08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57"/>
        </w:trPr>
        <w:tc>
          <w:tcPr>
            <w:tcW w:w="3294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Тема 3.5.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Основные понятия о Воинской обязанности. Воинский учет и его предназначение.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Понятие о воинском учете, организация воинского учета и его предназначение. Обязанности граждан по воинскому учету. Обязательная и добровольная подготовка граждан к военной службе.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02, 10, 11,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01, 02, 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04,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06, 07,08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964"/>
        </w:trPr>
        <w:tc>
          <w:tcPr>
            <w:tcW w:w="329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ar-SA"/>
              </w:rPr>
            </w:r>
            <w:r/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Практическое занятие №10.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РОСТО – ДОСААФ – общество подготовки юношей и девушек к службе в Вооруженных силах.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02, 10, 11,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01, 02, 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04,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06, 07,08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544"/>
        </w:trPr>
        <w:tc>
          <w:tcPr>
            <w:tcW w:w="3294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Тема 3.6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Прохождение военной службы по призыву и контракту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Призыв граждан на военную службу, сроки службы, отсрочка призыва на военную службу. Увольнение со службы. Прохождение военной службы по контракту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02, 10, 11,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01, 02, 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04,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06, 07,08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624"/>
        </w:trPr>
        <w:tc>
          <w:tcPr>
            <w:tcW w:w="329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sz w:val="27"/>
                <w:szCs w:val="27"/>
                <w:lang w:eastAsia="ru-RU"/>
              </w:rPr>
            </w:r>
            <w:r/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Военная форма одежды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02, 10, 11,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01, 02, 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04,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06, 07,08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08"/>
        </w:trPr>
        <w:tc>
          <w:tcPr>
            <w:tcW w:w="3294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Тема 3.7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Общевоинские уставы – закон воинской службы.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Устав внутренней службы ВС РФ. Строевой устав ВС РФ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02, 10, 11,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01, 02, 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06, 07,08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680"/>
        </w:trPr>
        <w:tc>
          <w:tcPr>
            <w:tcW w:w="329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sz w:val="27"/>
                <w:szCs w:val="27"/>
                <w:lang w:eastAsia="ru-RU"/>
              </w:rPr>
            </w:r>
            <w:r/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tabs>
                <w:tab w:val="left" w:pos="2278" w:leader="none"/>
              </w:tabs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Дисциплинарный устав ВС РФ. Устав гарнизонной и караульной службы ВС РФ.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02, 10, 11,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01, 02, 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06, 07,08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73"/>
        </w:trPr>
        <w:tc>
          <w:tcPr>
            <w:tcW w:w="3294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Тема 3.8.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Обязанности военнослужащих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7"/>
                <w:lang w:eastAsia="ru-RU"/>
              </w:rPr>
              <w:t xml:space="preserve">Общие и специальные обязанности военнослужащего.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02, 10, 11,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01, 02, 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03, 06, 07,08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70"/>
        </w:trPr>
        <w:tc>
          <w:tcPr>
            <w:tcW w:w="329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sz w:val="27"/>
                <w:szCs w:val="27"/>
                <w:lang w:eastAsia="ru-RU"/>
              </w:rPr>
            </w:r>
            <w:r/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  <w:lang w:eastAsia="ru-RU"/>
              </w:rPr>
              <w:t xml:space="preserve">Размещение военнослужащих, распределение времени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02, 10, 11,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01, 02, 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06, 07,08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624"/>
        </w:trPr>
        <w:tc>
          <w:tcPr>
            <w:tcW w:w="329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sz w:val="27"/>
                <w:szCs w:val="27"/>
                <w:lang w:eastAsia="ru-RU"/>
              </w:rPr>
            </w:r>
            <w:r/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u w:val="single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  <w:lang w:eastAsia="ru-RU"/>
              </w:rPr>
              <w:t xml:space="preserve">Повседневный порядок в части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W w:w="2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02, 10, 11,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01, 02, 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ОК 02</w:t>
            </w:r>
            <w:bookmarkStart w:id="1" w:name="_GoBack"/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bookmarkEnd w:id="1"/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, 06, 07,08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543"/>
        </w:trPr>
        <w:tc>
          <w:tcPr>
            <w:tcW w:w="3294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  <w:t xml:space="preserve">ИТОГО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44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7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32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ar-SA"/>
              </w:rPr>
              <w:t xml:space="preserve">70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272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ind w:firstLine="709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 w:eastAsia="Times New Roman"/>
          <w:color w:val="000000" w:themeColor="text1"/>
          <w:sz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  <w:t xml:space="preserve">3. УСЛОВИЯ РЕАЛИЗАЦИИ ПРОГРАММЫ УЧЕБНОЙ ДИСЦИПЛИНЫ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  <w:t xml:space="preserve">3.1.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 кабинет</w:t>
      </w: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8"/>
          <w:lang w:eastAsia="ru-RU"/>
        </w:rPr>
        <w:t xml:space="preserve"> «Основы безопасности жизнедеятельности»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Помещение кабинета должно соответствовать требованиям Санитарно-эпидемиологических правил и нормативов (СанПиН 2.4.2 № 178-02): оснащено типовым оборудованием, в том числе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специализированной учебной мебелью и средствами обучения, необходимыми для выполнения требований к уровню подготовки обучающихся. 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360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u w:val="single"/>
          <w:lang w:eastAsia="ru-RU"/>
        </w:rPr>
        <w:t xml:space="preserve">Оборудование учебного кабинета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3"/>
        </w:numPr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Посадочные места по количеству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обучающихся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3"/>
        </w:numPr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Рабочее место преподавателя;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3"/>
        </w:numPr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Комплект учебно-наглядных пособий по дисциплине;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3"/>
        </w:numPr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Стеллажи для наглядных пособий;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360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u w:val="single"/>
          <w:lang w:eastAsia="ru-RU"/>
        </w:rPr>
        <w:t xml:space="preserve">Технические средства обучения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4"/>
        </w:numPr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Проектор и экран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4"/>
        </w:numPr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Комплект учебно-наглядных пособий;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4"/>
        </w:numPr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Макеты  стрелкового оружия;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4"/>
        </w:numPr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Учебные средства индивидуальной защиты;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4"/>
        </w:numPr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Комплект сре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дств дл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я оказания первой медицинской помощи;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4"/>
        </w:numPr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Доска классная.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bookmarkStart w:id="2" w:name="text"/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bookmarkEnd w:id="2"/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  <w:t xml:space="preserve">3.2. Информационное обеспечение реализации программы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Для реализации примерной программы библиотечный фонд образовательной организации должен иметь п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ечатные и/или электронные образовательные и информационные ресурсы, для использования в образовательном процессе. </w:t>
      </w:r>
      <w:bookmarkStart w:id="3" w:name="_Hlk90308800"/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При формировании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библиотечного фонда образовательной организацией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выбирается не менее одного издания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3"/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3.2.1.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Основные печатные издания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7"/>
        </w:numPr>
        <w:contextualSpacing w:val="true"/>
        <w:ind w:left="0" w:right="0"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Долгов В. С. Основы безопасности жизнедеятельности : учебник для СПО / В. С. Долгов. — 2-е изд. стер.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—С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анкт-Петербург : Лань, 2021. — 188 с. —  Текст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непосредственный.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142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3.2.2 Основные  электронные издания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8"/>
        </w:numPr>
        <w:contextualSpacing w:val="true"/>
        <w:ind w:left="0" w:right="0" w:firstLine="709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Ковальчук, А.Н.  Безопасность жизнедеятельности. Часть 1. Основы гражданской обороны [Электронный ресурс]: учебное пособие / А.Н. Ковальчук, Н.М. Ковальчук. – Красноярск, 2020. – 307 с.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8"/>
        </w:numPr>
        <w:contextualSpacing w:val="true"/>
        <w:ind w:left="0" w:right="0" w:firstLine="709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Ковальчук, А. Н.  Безопасность жизнедеятельности. Ч. 2. Основы военной службы: [Электронный ресурс]: учебное пособие / А. Н. Ковальчук; Красноярский государственный аграрный университет. – Красноярск, 2020. – 308 с.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3.2.3. 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  <w:t xml:space="preserve">Дополнительные источники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6"/>
        </w:numPr>
        <w:contextualSpacing w:val="true"/>
        <w:ind w:left="0" w:right="0"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Основы безопасность жизнедеятельности. Книги 1,2,3.Ромашкин Н.Б. Учебно-методическое пособие, 2007.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6"/>
        </w:numPr>
        <w:contextualSpacing w:val="true"/>
        <w:ind w:left="0" w:right="0"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Первая медицинская помощь. Медицина катастроф. Учебное пособие. Чумаков Н.А. 2006, 247с.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6"/>
        </w:numPr>
        <w:contextualSpacing w:val="true"/>
        <w:ind w:left="0" w:right="0"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Способы автономного выживания человека в природе. Учебник под ред. Михайлова Л.А. 2008, 272с.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0" w:right="0"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3.2.4 Интернет  ресурсы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5"/>
        </w:numPr>
        <w:contextualSpacing w:val="true"/>
        <w:ind w:left="0" w:right="0" w:firstLine="709"/>
        <w:jc w:val="both"/>
        <w:spacing w:lineRule="auto" w:line="276" w:after="0"/>
        <w:tabs>
          <w:tab w:val="left" w:pos="142" w:leader="none"/>
          <w:tab w:val="left" w:pos="567" w:leader="none"/>
          <w:tab w:val="left" w:pos="851" w:leader="none"/>
          <w:tab w:val="left" w:pos="1134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hyperlink r:id="rId12" w:tooltip="https://31.mchs.gov.ru" w:history="1">
        <w:r>
          <w:rPr>
            <w:rFonts w:ascii="Times New Roman" w:hAnsi="Times New Roman" w:cs="Times New Roman" w:eastAsia="Times New Roman"/>
            <w:color w:val="000000" w:themeColor="text1"/>
            <w:sz w:val="24"/>
            <w:szCs w:val="28"/>
            <w:u w:val="single"/>
            <w:lang w:eastAsia="ru-RU"/>
          </w:rPr>
          <w:t xml:space="preserve">https://31.mchs.gov.r</w:t>
        </w:r>
        <w:r>
          <w:rPr>
            <w:rFonts w:ascii="Times New Roman" w:hAnsi="Times New Roman" w:cs="Times New Roman" w:eastAsia="Times New Roman"/>
            <w:color w:val="000000" w:themeColor="text1"/>
            <w:sz w:val="24"/>
            <w:szCs w:val="28"/>
            <w:u w:val="single"/>
            <w:lang w:val="en-US" w:eastAsia="ru-RU"/>
          </w:rPr>
          <w:t xml:space="preserve">u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Министерство Российской Федерации по делам гражданской обороны, чрезвычайным ситуациям и ликвидации последствий стихийных бедствий (МЧС России)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5"/>
        </w:numPr>
        <w:contextualSpacing w:val="true"/>
        <w:ind w:left="0" w:right="0"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hyperlink r:id="rId13" w:tooltip="https://www.gosnadzor.ru" w:history="1">
        <w:r>
          <w:rPr>
            <w:rFonts w:ascii="Times New Roman" w:hAnsi="Times New Roman" w:cs="Times New Roman" w:eastAsia="Times New Roman"/>
            <w:color w:val="000000" w:themeColor="text1"/>
            <w:sz w:val="24"/>
            <w:szCs w:val="28"/>
            <w:u w:val="single"/>
          </w:rPr>
          <w:t xml:space="preserve">https://www.gosnadzor.ru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Федеральная служба по экологическому, технологическому и атомному надзору (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Ростехнадзор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)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5"/>
        </w:numPr>
        <w:contextualSpacing w:val="true"/>
        <w:ind w:left="0" w:right="0" w:firstLine="709"/>
        <w:jc w:val="both"/>
        <w:spacing w:lineRule="auto" w:line="276" w:after="0"/>
        <w:tabs>
          <w:tab w:val="left" w:pos="142" w:leader="none"/>
          <w:tab w:val="left" w:pos="567" w:leader="none"/>
          <w:tab w:val="left" w:pos="851" w:leader="none"/>
          <w:tab w:val="left" w:pos="1134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http://</w:t>
      </w:r>
      <w:hyperlink r:id="rId14" w:tooltip="http://www.mzsrrf.ru/" w:history="1">
        <w:r>
          <w:rPr>
            <w:rFonts w:ascii="Times New Roman" w:hAnsi="Times New Roman" w:cs="Times New Roman" w:eastAsia="Times New Roman"/>
            <w:color w:val="000000" w:themeColor="text1"/>
            <w:sz w:val="24"/>
            <w:szCs w:val="28"/>
            <w:u w:val="single"/>
          </w:rPr>
          <w:t xml:space="preserve">www.mzsrrf.ru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Министерство здравоохранения и социального развития Российской Федерации (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Минздравсоцразвития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России)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5"/>
        </w:numPr>
        <w:contextualSpacing w:val="true"/>
        <w:ind w:left="0" w:right="0" w:firstLine="709"/>
        <w:jc w:val="both"/>
        <w:spacing w:lineRule="auto" w:line="276" w:after="0"/>
        <w:tabs>
          <w:tab w:val="left" w:pos="142" w:leader="none"/>
          <w:tab w:val="left" w:pos="567" w:leader="none"/>
          <w:tab w:val="left" w:pos="851" w:leader="none"/>
          <w:tab w:val="left" w:pos="1134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http://</w:t>
      </w:r>
      <w:hyperlink r:id="rId15" w:tooltip="http://www.rostrud.info/" w:history="1">
        <w:r>
          <w:rPr>
            <w:rFonts w:ascii="Times New Roman" w:hAnsi="Times New Roman" w:cs="Times New Roman" w:eastAsia="Times New Roman"/>
            <w:color w:val="000000" w:themeColor="text1"/>
            <w:sz w:val="24"/>
            <w:szCs w:val="28"/>
            <w:u w:val="single"/>
          </w:rPr>
          <w:t xml:space="preserve">www.rostrud.info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Федеральная служба по труду и занятости (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Роструд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)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5"/>
        </w:numPr>
        <w:contextualSpacing w:val="true"/>
        <w:ind w:left="0" w:right="0" w:firstLine="709"/>
        <w:jc w:val="both"/>
        <w:spacing w:lineRule="auto" w:line="276" w:after="0"/>
        <w:tabs>
          <w:tab w:val="left" w:pos="142" w:leader="none"/>
          <w:tab w:val="left" w:pos="567" w:leader="none"/>
          <w:tab w:val="left" w:pos="851" w:leader="none"/>
          <w:tab w:val="left" w:pos="1134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http://</w:t>
      </w:r>
      <w:hyperlink r:id="rId16" w:tooltip="http://www.mpr.gov.ru/" w:history="1">
        <w:r>
          <w:rPr>
            <w:rFonts w:ascii="Times New Roman" w:hAnsi="Times New Roman" w:cs="Times New Roman" w:eastAsia="Times New Roman"/>
            <w:color w:val="000000" w:themeColor="text1"/>
            <w:sz w:val="24"/>
            <w:szCs w:val="28"/>
            <w:u w:val="single"/>
            <w:lang w:eastAsia="ru-RU"/>
          </w:rPr>
          <w:t xml:space="preserve">www.mnr.gov.r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u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Министерство природных ресурсов и экологии Российской Федерации (Минприроды России)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0" w:right="0"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0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502"/>
        <w:jc w:val="center"/>
        <w:spacing w:lineRule="auto" w:line="276" w:after="16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  <w:t xml:space="preserve">4.КОНТРОЛЬ И ОЦЕНКА РЕЗУЛЬТАТОВ ОСВОЕНИЯ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502"/>
        <w:jc w:val="center"/>
        <w:spacing w:lineRule="auto" w:line="276" w:after="16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  <w:t xml:space="preserve">УЧЕБНОГО ПРЕДМЕТА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4426" w:type="pct"/>
        <w:tblInd w:w="103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5"/>
        <w:gridCol w:w="4128"/>
      </w:tblGrid>
      <w:tr>
        <w:trPr>
          <w:jc w:val="right"/>
        </w:trPr>
        <w:tc>
          <w:tcPr>
            <w:tcW w:w="4595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128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jc w:val="right"/>
        </w:trPr>
        <w:tc>
          <w:tcPr>
            <w:tcW w:w="459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128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  <w:lang w:eastAsia="ru-RU"/>
              </w:rPr>
              <w:t xml:space="preserve">Тестирование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jc w:val="right"/>
        </w:trPr>
        <w:tc>
          <w:tcPr>
            <w:tcW w:w="459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128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  <w:lang w:eastAsia="ru-RU"/>
              </w:rPr>
              <w:t xml:space="preserve">Тестирование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jc w:val="right"/>
        </w:trPr>
        <w:tc>
          <w:tcPr>
            <w:tcW w:w="4595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128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  <w:lang w:eastAsia="ru-RU"/>
              </w:rPr>
              <w:t xml:space="preserve">Эссе по проблемам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jc w:val="right"/>
        </w:trPr>
        <w:tc>
          <w:tcPr>
            <w:tcW w:w="459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128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  <w:lang w:eastAsia="ru-RU"/>
              </w:rPr>
              <w:t xml:space="preserve">Тестирование, эссе по проблемам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jc w:val="right"/>
        </w:trPr>
        <w:tc>
          <w:tcPr>
            <w:tcW w:w="4595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128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  <w:lang w:eastAsia="ru-RU"/>
              </w:rPr>
              <w:t xml:space="preserve">Тестирование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  <w:lang w:eastAsia="ru-RU"/>
              </w:rPr>
              <w:t xml:space="preserve">Оценка результатов выполнения практической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jc w:val="right"/>
        </w:trPr>
        <w:tc>
          <w:tcPr>
            <w:tcW w:w="459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 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128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  <w:lang w:eastAsia="ru-RU"/>
              </w:rPr>
              <w:t xml:space="preserve">Тестирование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jc w:val="right"/>
        </w:trPr>
        <w:tc>
          <w:tcPr>
            <w:tcW w:w="4595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 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128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  <w:lang w:eastAsia="ru-RU"/>
              </w:rPr>
              <w:t xml:space="preserve">Оценка результатов выполнения практической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jc w:val="right"/>
        </w:trPr>
        <w:tc>
          <w:tcPr>
            <w:tcW w:w="459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 08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128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  <w:lang w:eastAsia="ru-RU"/>
              </w:rPr>
              <w:t xml:space="preserve">Оценка результатов выполнения практической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jc w:val="right"/>
        </w:trPr>
        <w:tc>
          <w:tcPr>
            <w:tcW w:w="459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 09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128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  <w:lang w:eastAsia="ru-RU"/>
              </w:rPr>
              <w:t xml:space="preserve">Оценка результатов выполнения практической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jc w:val="right"/>
        </w:trPr>
        <w:tc>
          <w:tcPr>
            <w:tcW w:w="4595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ПРб10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128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  <w:lang w:eastAsia="ru-RU"/>
              </w:rPr>
              <w:t xml:space="preserve">Тестирование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jc w:val="right"/>
        </w:trPr>
        <w:tc>
          <w:tcPr>
            <w:tcW w:w="459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 11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128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  <w:lang w:eastAsia="ru-RU"/>
              </w:rPr>
              <w:t xml:space="preserve">Тестирование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jc w:val="right"/>
        </w:trPr>
        <w:tc>
          <w:tcPr>
            <w:tcW w:w="459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ПРб12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128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  <w:lang w:eastAsia="ru-RU"/>
              </w:rPr>
              <w:t xml:space="preserve">Оценка результатов выполнения практической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567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/>
      <w:r>
        <w:separator/>
      </w:r>
      <w:r/>
    </w:p>
  </w:endnote>
  <w:endnote w:type="continuationSeparator" w:id="0">
    <w:p>
      <w:pPr>
        <w:spacing w:lineRule="auto" w:line="240" w:after="0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6"/>
      <w:jc w:val="center"/>
    </w:pPr>
    <w:r/>
    <w:r/>
  </w:p>
  <w:p>
    <w:pPr>
      <w:pStyle w:val="656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770997361"/>
      <w:docPartObj>
        <w:docPartGallery w:val="Page Numbers (Bottom of Page)"/>
        <w:docPartUnique w:val="true"/>
      </w:docPartObj>
      <w:rPr/>
    </w:sdtPr>
    <w:sdtContent>
      <w:p>
        <w:pPr>
          <w:pStyle w:val="65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12</w:t>
        </w:r>
        <w:r>
          <w:fldChar w:fldCharType="end"/>
        </w:r>
        <w:r/>
      </w:p>
    </w:sdtContent>
  </w:sdt>
  <w:p>
    <w:pPr>
      <w:pStyle w:val="65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false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false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false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false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false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false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false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false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52"/>
    <w:next w:val="652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653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52"/>
    <w:next w:val="652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653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52"/>
    <w:next w:val="652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653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52"/>
    <w:next w:val="652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653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52"/>
    <w:next w:val="652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653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52"/>
    <w:next w:val="652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653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52"/>
    <w:next w:val="652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653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52"/>
    <w:next w:val="652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653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52"/>
    <w:next w:val="652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653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652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652"/>
    <w:next w:val="652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653"/>
    <w:link w:val="32"/>
    <w:uiPriority w:val="10"/>
    <w:rPr>
      <w:sz w:val="48"/>
      <w:szCs w:val="48"/>
    </w:rPr>
  </w:style>
  <w:style w:type="paragraph" w:styleId="34">
    <w:name w:val="Subtitle"/>
    <w:basedOn w:val="652"/>
    <w:next w:val="652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653"/>
    <w:link w:val="34"/>
    <w:uiPriority w:val="11"/>
    <w:rPr>
      <w:sz w:val="24"/>
      <w:szCs w:val="24"/>
    </w:rPr>
  </w:style>
  <w:style w:type="paragraph" w:styleId="36">
    <w:name w:val="Quote"/>
    <w:basedOn w:val="652"/>
    <w:next w:val="652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52"/>
    <w:next w:val="652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652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653"/>
    <w:link w:val="40"/>
    <w:uiPriority w:val="99"/>
  </w:style>
  <w:style w:type="character" w:styleId="43">
    <w:name w:val="Footer Char"/>
    <w:basedOn w:val="653"/>
    <w:link w:val="656"/>
    <w:uiPriority w:val="99"/>
  </w:style>
  <w:style w:type="paragraph" w:styleId="44">
    <w:name w:val="Caption"/>
    <w:basedOn w:val="652"/>
    <w:next w:val="652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656"/>
    <w:uiPriority w:val="99"/>
  </w:style>
  <w:style w:type="table" w:styleId="46">
    <w:name w:val="Table Grid"/>
    <w:basedOn w:val="654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654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54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54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5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5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5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5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5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5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5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5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65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65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65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65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65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65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65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65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65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65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65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65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65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5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652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53"/>
    <w:uiPriority w:val="99"/>
    <w:unhideWhenUsed/>
    <w:rPr>
      <w:vertAlign w:val="superscript"/>
    </w:rPr>
  </w:style>
  <w:style w:type="paragraph" w:styleId="176">
    <w:name w:val="endnote text"/>
    <w:basedOn w:val="652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53"/>
    <w:uiPriority w:val="99"/>
    <w:semiHidden/>
    <w:unhideWhenUsed/>
    <w:rPr>
      <w:vertAlign w:val="superscript"/>
    </w:rPr>
  </w:style>
  <w:style w:type="paragraph" w:styleId="179">
    <w:name w:val="toc 1"/>
    <w:basedOn w:val="652"/>
    <w:next w:val="652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52"/>
    <w:next w:val="652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52"/>
    <w:next w:val="652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52"/>
    <w:next w:val="652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52"/>
    <w:next w:val="652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52"/>
    <w:next w:val="652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52"/>
    <w:next w:val="652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52"/>
    <w:next w:val="652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52"/>
    <w:next w:val="652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52"/>
    <w:next w:val="652"/>
    <w:uiPriority w:val="99"/>
    <w:unhideWhenUsed/>
    <w:pPr>
      <w:spacing w:after="0" w:afterAutospacing="0"/>
    </w:pPr>
  </w:style>
  <w:style w:type="paragraph" w:styleId="652" w:default="1">
    <w:name w:val="Normal"/>
    <w:qFormat/>
  </w:style>
  <w:style w:type="character" w:styleId="653" w:default="1">
    <w:name w:val="Default Paragraph Font"/>
    <w:uiPriority w:val="1"/>
    <w:semiHidden/>
    <w:unhideWhenUsed/>
  </w:style>
  <w:style w:type="table" w:styleId="65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5" w:default="1">
    <w:name w:val="No List"/>
    <w:uiPriority w:val="99"/>
    <w:semiHidden/>
    <w:unhideWhenUsed/>
  </w:style>
  <w:style w:type="paragraph" w:styleId="656">
    <w:name w:val="Footer"/>
    <w:basedOn w:val="652"/>
    <w:link w:val="657"/>
    <w:uiPriority w:val="99"/>
    <w:unhideWhenUsed/>
    <w:rPr>
      <w:rFonts w:ascii="Calibri" w:hAnsi="Calibri" w:cs="Times New Roman" w:eastAsia="Times New Roman"/>
      <w:lang w:eastAsia="ru-RU"/>
    </w:rPr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657" w:customStyle="1">
    <w:name w:val="Нижний колонтитул Знак"/>
    <w:basedOn w:val="653"/>
    <w:link w:val="656"/>
    <w:uiPriority w:val="99"/>
    <w:rPr>
      <w:rFonts w:ascii="Calibri" w:hAnsi="Calibri" w:cs="Times New Roman" w:eastAsia="Times New Roman"/>
      <w:lang w:eastAsia="ru-RU"/>
    </w:rPr>
  </w:style>
  <w:style w:type="paragraph" w:styleId="1_635">
    <w:name w:val="Подзаголовок"/>
    <w:basedOn w:val="698"/>
    <w:next w:val="698"/>
    <w:link w:val="829"/>
    <w:rPr>
      <w:rFonts w:ascii="Calibri Light" w:hAnsi="Calibri Light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center"/>
      <w:keepLines w:val="false"/>
      <w:keepNext w:val="false"/>
      <w:pageBreakBefore w:val="false"/>
      <w:spacing w:lineRule="auto" w:line="276" w:after="6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outlineLvl w:val="1"/>
      <w:suppressLineNumbers w:val="0"/>
    </w:pPr>
  </w:style>
  <w:style w:type="paragraph" w:styleId="1_634">
    <w:name w:val="Обычный"/>
    <w:next w:val="698"/>
    <w:link w:val="698"/>
    <w:rPr>
      <w:rFonts w:ascii="Calibri" w:hAnsi="Calibri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https://31.mchs.gov.ru" TargetMode="External"/><Relationship Id="rId13" Type="http://schemas.openxmlformats.org/officeDocument/2006/relationships/hyperlink" Target="https://www.gosnadzor.ru" TargetMode="External"/><Relationship Id="rId14" Type="http://schemas.openxmlformats.org/officeDocument/2006/relationships/hyperlink" Target="http://www.mzsrrf.ru/" TargetMode="External"/><Relationship Id="rId15" Type="http://schemas.openxmlformats.org/officeDocument/2006/relationships/hyperlink" Target="http://www.rostrud.info/" TargetMode="External"/><Relationship Id="rId16" Type="http://schemas.openxmlformats.org/officeDocument/2006/relationships/hyperlink" Target="http://www.mpr.gov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revision>5</cp:revision>
  <dcterms:created xsi:type="dcterms:W3CDTF">2022-06-08T17:39:00Z</dcterms:created>
  <dcterms:modified xsi:type="dcterms:W3CDTF">2022-09-09T06:37:01Z</dcterms:modified>
</cp:coreProperties>
</file>